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D9" w:rsidRDefault="002402D9" w:rsidP="002402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>
        <w:rPr>
          <w:rFonts w:ascii="Times New Roman" w:hAnsi="Times New Roman"/>
          <w:b/>
          <w:sz w:val="28"/>
          <w:szCs w:val="28"/>
        </w:rPr>
        <w:t>Classics~Cultivating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2402D9" w:rsidRDefault="002402D9" w:rsidP="002402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2402D9" w:rsidTr="002402D9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Instructor’s name:  </w:t>
            </w:r>
          </w:p>
          <w:p w:rsidR="002402D9" w:rsidRDefault="00A37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Shain/Gotcher/Bryant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Course/Grade: </w:t>
            </w:r>
          </w:p>
          <w:p w:rsidR="002402D9" w:rsidRDefault="00A37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Assisted Reading/Math</w:t>
            </w:r>
          </w:p>
        </w:tc>
      </w:tr>
      <w:tr w:rsidR="002402D9" w:rsidTr="002402D9"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Week of: </w:t>
            </w:r>
          </w:p>
          <w:p w:rsidR="002402D9" w:rsidRDefault="007B0F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Aug. 24 - 28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02D9" w:rsidRDefault="002402D9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Unit Name: </w:t>
            </w:r>
          </w:p>
          <w:p w:rsidR="002402D9" w:rsidRDefault="007B0F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Freak the Mighty, Math 4-Square, Narrative Writing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2402D9" w:rsidRDefault="002402D9" w:rsidP="002402D9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2402D9" w:rsidTr="002402D9">
        <w:trPr>
          <w:trHeight w:val="49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hAnsi="Times New Roman"/>
                <w:b/>
                <w:i/>
              </w:rPr>
              <w:t>*</w:t>
            </w:r>
            <w:r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2402D9" w:rsidRDefault="007B0F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do I learn most effectively?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Connections (prior/future learning): 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02D9" w:rsidTr="002402D9">
        <w:trPr>
          <w:trHeight w:val="492"/>
        </w:trPr>
        <w:tc>
          <w:tcPr>
            <w:tcW w:w="1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9B5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>
              <w:rPr>
                <w:rFonts w:ascii="Times New Roman" w:hAnsi="Times New Roman"/>
                <w:b/>
              </w:rPr>
              <w:t xml:space="preserve"> Common Core/State Standards:</w:t>
            </w:r>
          </w:p>
          <w:p w:rsidR="00F469B5" w:rsidRPr="00AE480E" w:rsidRDefault="00F469B5" w:rsidP="00F4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Medium" w:eastAsiaTheme="minorHAnsi" w:hAnsi="Gotham-Medium" w:cs="Gotham-Medium"/>
                <w:b/>
                <w:sz w:val="18"/>
                <w:szCs w:val="18"/>
              </w:rPr>
            </w:pPr>
            <w:r w:rsidRPr="00AE480E">
              <w:rPr>
                <w:rFonts w:ascii="Gotham-Medium" w:eastAsiaTheme="minorHAnsi" w:hAnsi="Gotham-Medium" w:cs="Gotham-Medium"/>
                <w:b/>
                <w:sz w:val="18"/>
                <w:szCs w:val="18"/>
              </w:rPr>
              <w:t>The Number System 7.NS</w:t>
            </w:r>
          </w:p>
          <w:p w:rsidR="00F469B5" w:rsidRP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ld" w:eastAsiaTheme="minorHAnsi" w:hAnsi="Gotham-Bold" w:cs="Gotham-Bold"/>
                <w:bCs/>
                <w:sz w:val="18"/>
                <w:szCs w:val="18"/>
              </w:rPr>
            </w:pPr>
            <w:r w:rsidRPr="00AE480E">
              <w:rPr>
                <w:rFonts w:ascii="Gotham-Bold" w:eastAsiaTheme="minorHAnsi" w:hAnsi="Gotham-Bold" w:cs="Gotham-Bold"/>
                <w:bCs/>
                <w:sz w:val="18"/>
                <w:szCs w:val="18"/>
              </w:rPr>
              <w:t>1.</w:t>
            </w:r>
            <w:r>
              <w:rPr>
                <w:rFonts w:ascii="Gotham-Bold" w:eastAsiaTheme="minorHAnsi" w:hAnsi="Gotham-Bold" w:cs="Gotham-Bold"/>
                <w:bCs/>
                <w:sz w:val="18"/>
                <w:szCs w:val="18"/>
              </w:rPr>
              <w:t xml:space="preserve"> </w:t>
            </w:r>
            <w:r w:rsidR="00F469B5" w:rsidRPr="00AE480E">
              <w:rPr>
                <w:rFonts w:ascii="Gotham-Bold" w:eastAsiaTheme="minorHAnsi" w:hAnsi="Gotham-Bold" w:cs="Gotham-Bold"/>
                <w:bCs/>
                <w:sz w:val="18"/>
                <w:szCs w:val="18"/>
              </w:rPr>
              <w:t>Apply and extend previous understandings of operations with</w:t>
            </w:r>
          </w:p>
          <w:p w:rsidR="00AE480E" w:rsidRPr="00AE480E" w:rsidRDefault="00F469B5" w:rsidP="00F469B5">
            <w:pPr>
              <w:spacing w:after="0" w:line="240" w:lineRule="auto"/>
              <w:rPr>
                <w:rFonts w:ascii="Gotham-Bold" w:eastAsiaTheme="minorHAnsi" w:hAnsi="Gotham-Bold" w:cs="Gotham-Bold"/>
                <w:bCs/>
                <w:sz w:val="18"/>
                <w:szCs w:val="18"/>
              </w:rPr>
            </w:pPr>
            <w:proofErr w:type="gramStart"/>
            <w:r w:rsidRPr="00AE480E">
              <w:rPr>
                <w:rFonts w:ascii="Gotham-Bold" w:eastAsiaTheme="minorHAnsi" w:hAnsi="Gotham-Bold" w:cs="Gotham-Bold"/>
                <w:bCs/>
                <w:sz w:val="18"/>
                <w:szCs w:val="18"/>
              </w:rPr>
              <w:t>fractions</w:t>
            </w:r>
            <w:proofErr w:type="gramEnd"/>
            <w:r w:rsidRPr="00AE480E">
              <w:rPr>
                <w:rFonts w:ascii="Gotham-Bold" w:eastAsiaTheme="minorHAnsi" w:hAnsi="Gotham-Bold" w:cs="Gotham-Bold"/>
                <w:bCs/>
                <w:sz w:val="18"/>
                <w:szCs w:val="18"/>
              </w:rPr>
              <w:t xml:space="preserve"> to add, subtract, multiply, and divide rational numbers.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2. Apply and extend previous understandings of multiplication and</w:t>
            </w:r>
          </w:p>
          <w:p w:rsidR="00AE480E" w:rsidRDefault="00AE480E" w:rsidP="00AE480E">
            <w:pPr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division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and of fractions to multiply and divide rational numbers.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3. Use proportional relationships to solve multistep ratio and percent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problems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.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Examples: simple interest, tax, markups and markdowns,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gratuities and commissions, fees, percent increase and decrease, percent</w:t>
            </w:r>
          </w:p>
          <w:p w:rsidR="002402D9" w:rsidRDefault="00AE480E" w:rsidP="00AE480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error</w:t>
            </w:r>
            <w:proofErr w:type="gramEnd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.</w:t>
            </w:r>
            <w:r w:rsidR="002402D9">
              <w:rPr>
                <w:rFonts w:ascii="Times New Roman" w:hAnsi="Times New Roman"/>
                <w:b/>
              </w:rPr>
              <w:t xml:space="preserve"> </w:t>
            </w:r>
          </w:p>
          <w:p w:rsidR="00AE480E" w:rsidRP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Medium" w:eastAsiaTheme="minorHAnsi" w:hAnsi="Gotham-Medium" w:cs="Gotham-Medium"/>
                <w:b/>
                <w:sz w:val="18"/>
                <w:szCs w:val="18"/>
              </w:rPr>
            </w:pPr>
            <w:r w:rsidRPr="00AE480E">
              <w:rPr>
                <w:rFonts w:ascii="Gotham-Medium" w:eastAsiaTheme="minorHAnsi" w:hAnsi="Gotham-Medium" w:cs="Gotham-Medium"/>
                <w:b/>
                <w:sz w:val="18"/>
                <w:szCs w:val="18"/>
              </w:rPr>
              <w:t>Expressions and Equations 7.EE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ld" w:eastAsiaTheme="minorHAnsi" w:hAnsi="Gotham-Bold" w:cs="Gotham-Bold"/>
                <w:b/>
                <w:bCs/>
                <w:sz w:val="18"/>
                <w:szCs w:val="18"/>
              </w:rPr>
            </w:pPr>
            <w:r>
              <w:rPr>
                <w:rFonts w:ascii="Gotham-Bold" w:eastAsiaTheme="minorHAnsi" w:hAnsi="Gotham-Bold" w:cs="Gotham-Bold"/>
                <w:b/>
                <w:bCs/>
                <w:sz w:val="18"/>
                <w:szCs w:val="18"/>
              </w:rPr>
              <w:t>Use properties of operations to generate equivalent expressions.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1. Apply properties of operations as strategies to add, subtract, factor,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and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expand linear expressions with rational coefficients.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2. Understand that rewriting an expression in different forms in a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problem context can shed light on the problem and how the quantities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in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it are related.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For example, a + 0.05a = 1.05a means that “increase by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5%” is the same as “multiply by 1.05.”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ld" w:eastAsiaTheme="minorHAnsi" w:hAnsi="Gotham-Bold" w:cs="Gotham-Bold"/>
                <w:b/>
                <w:bCs/>
                <w:sz w:val="18"/>
                <w:szCs w:val="18"/>
              </w:rPr>
            </w:pPr>
            <w:r>
              <w:rPr>
                <w:rFonts w:ascii="Gotham-Bold" w:eastAsiaTheme="minorHAnsi" w:hAnsi="Gotham-Bold" w:cs="Gotham-Bold"/>
                <w:b/>
                <w:bCs/>
                <w:sz w:val="18"/>
                <w:szCs w:val="18"/>
              </w:rPr>
              <w:t>Solve real-life and mathematical problems using numerical and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ld" w:eastAsiaTheme="minorHAnsi" w:hAnsi="Gotham-Bold" w:cs="Gotham-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Gotham-Bold" w:eastAsiaTheme="minorHAnsi" w:hAnsi="Gotham-Bold" w:cs="Gotham-Bold"/>
                <w:b/>
                <w:bCs/>
                <w:sz w:val="18"/>
                <w:szCs w:val="18"/>
              </w:rPr>
              <w:t>algebraic</w:t>
            </w:r>
            <w:proofErr w:type="gramEnd"/>
            <w:r>
              <w:rPr>
                <w:rFonts w:ascii="Gotham-Bold" w:eastAsiaTheme="minorHAnsi" w:hAnsi="Gotham-Bold" w:cs="Gotham-Bold"/>
                <w:b/>
                <w:bCs/>
                <w:sz w:val="18"/>
                <w:szCs w:val="18"/>
              </w:rPr>
              <w:t xml:space="preserve"> expressions and equations.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3. Solve multi-step real-life and mathematical problems posed with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positive and negative rational numbers in any form (whole numbers,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fractions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>, and decimals), using tools strategically. Apply properties of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operations to calculate with numbers in any form; convert between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forms as appropriate; and assess the reasonableness of answers using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mental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computation and estimation strategies.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For example: If a woman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making $25 an hour gets a 10% raise, she will make an additional 1/10 of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her</w:t>
            </w:r>
            <w:proofErr w:type="gramEnd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 xml:space="preserve"> salary an hour, or $2.50, for a new salary of $27.50. If you want to place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a towel bar 9 3/4 inches long in the center of a door that is 27 1/2 inches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wide, you will need to place the bar about 9 inches from each edge; this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estimate</w:t>
            </w:r>
            <w:proofErr w:type="gramEnd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 xml:space="preserve"> can be used as a check on the exact computation.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4. Use variables to represent quantities in a real-world or mathematical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problem, and construct simple equations and inequalities to solve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problems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by reasoning about the quantities.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r>
              <w:rPr>
                <w:rFonts w:eastAsiaTheme="minorHAnsi" w:cs="Calibri"/>
                <w:sz w:val="20"/>
                <w:szCs w:val="20"/>
              </w:rPr>
              <w:t xml:space="preserve">a. 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Solve word problems leading to equations of the form </w:t>
            </w:r>
            <w:proofErr w:type="spellStart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px</w:t>
            </w:r>
            <w:proofErr w:type="spellEnd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+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 xml:space="preserve">q 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=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r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and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p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>(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 xml:space="preserve">x 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+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q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) =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r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, where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p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,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q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, and </w:t>
            </w:r>
            <w:proofErr w:type="spellStart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 xml:space="preserve">r </w:t>
            </w:r>
            <w:r>
              <w:rPr>
                <w:rFonts w:ascii="Gotham-Book" w:eastAsiaTheme="minorHAnsi" w:hAnsi="Gotham-Book" w:cs="Gotham-Book"/>
                <w:sz w:val="16"/>
                <w:szCs w:val="16"/>
              </w:rPr>
              <w:t>are</w:t>
            </w:r>
            <w:proofErr w:type="spell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specific rational numbers.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Solve equations of these forms fluently. Compare an algebraic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solution to an arithmetic solution, identifying the sequence of the</w:t>
            </w:r>
          </w:p>
          <w:p w:rsidR="00AE480E" w:rsidRDefault="00AE480E" w:rsidP="00AE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operations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used in each approach. </w:t>
            </w:r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For example, the perimeter of a</w:t>
            </w:r>
          </w:p>
          <w:p w:rsidR="00AE480E" w:rsidRDefault="00AE480E" w:rsidP="00AE480E">
            <w:pPr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>rectangle</w:t>
            </w:r>
            <w:proofErr w:type="gramEnd"/>
            <w:r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  <w:t xml:space="preserve"> is 54 cm. Its length is 6 cm. What is its width?</w:t>
            </w:r>
          </w:p>
          <w:p w:rsidR="00CE6AFA" w:rsidRDefault="00CE6AFA" w:rsidP="00AE480E">
            <w:pPr>
              <w:spacing w:after="0" w:line="240" w:lineRule="auto"/>
              <w:rPr>
                <w:rFonts w:ascii="Gotham-BookItalic" w:eastAsiaTheme="minorHAnsi" w:hAnsi="Gotham-BookItalic" w:cs="Gotham-BookItalic"/>
                <w:i/>
                <w:iCs/>
                <w:sz w:val="16"/>
                <w:szCs w:val="16"/>
              </w:rPr>
            </w:pPr>
          </w:p>
          <w:p w:rsidR="00CE6AFA" w:rsidRPr="008775D3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Medium" w:eastAsiaTheme="minorHAnsi" w:hAnsi="Gotham-Medium" w:cs="Gotham-Medium"/>
                <w:b/>
                <w:sz w:val="19"/>
                <w:szCs w:val="19"/>
              </w:rPr>
            </w:pPr>
            <w:r w:rsidRPr="008775D3">
              <w:rPr>
                <w:rFonts w:ascii="Gotham-Medium" w:eastAsiaTheme="minorHAnsi" w:hAnsi="Gotham-Medium" w:cs="Gotham-Medium"/>
                <w:b/>
                <w:sz w:val="19"/>
                <w:szCs w:val="19"/>
              </w:rPr>
              <w:t>ELA - Key Ideas and Details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1. Read closely to determine what the text says explicitly and to make logical inferences from it; cite specific textual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evidence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when writing or speaking to support conclusions drawn from the text.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2. Determine central ideas or themes of a text and analyze their development; summarize the key supporting details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and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ideas.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3. Analyze how and why individuals, events, and ideas develop and interact over the course of a text.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Medium" w:eastAsiaTheme="minorHAnsi" w:hAnsi="Gotham-Medium" w:cs="Gotham-Medium"/>
                <w:sz w:val="19"/>
                <w:szCs w:val="19"/>
              </w:rPr>
            </w:pPr>
            <w:r>
              <w:rPr>
                <w:rFonts w:ascii="Gotham-Medium" w:eastAsiaTheme="minorHAnsi" w:hAnsi="Gotham-Medium" w:cs="Gotham-Medium"/>
                <w:sz w:val="19"/>
                <w:szCs w:val="19"/>
              </w:rPr>
              <w:t>Craft and Structure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4. Interpret words and phrases as they are used in a text, including determining technical, connotative, and figurative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meanings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>, and analyze how specific word choices shape meaning or tone.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lastRenderedPageBreak/>
              <w:t>5. Analyze the structure of texts, including how specific sentences, paragraphs, and larger portions of the text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(e.g., a section, chapter, scene, or stanza) relate to each other and the whole.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6. Assess how point of view or purpose shapes the content and style of a text.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Medium" w:eastAsiaTheme="minorHAnsi" w:hAnsi="Gotham-Medium" w:cs="Gotham-Medium"/>
                <w:sz w:val="19"/>
                <w:szCs w:val="19"/>
              </w:rPr>
            </w:pPr>
            <w:r>
              <w:rPr>
                <w:rFonts w:ascii="Gotham-Medium" w:eastAsiaTheme="minorHAnsi" w:hAnsi="Gotham-Medium" w:cs="Gotham-Medium"/>
                <w:sz w:val="19"/>
                <w:szCs w:val="19"/>
              </w:rPr>
              <w:t>Integration of Knowledge and Ideas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7. Integrate and evaluate content presented in diverse formats and media, including visually and quantitatively, as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well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as in words.*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8. Delineate and evaluate the argument and specific claims in a text, including the validity of the reasoning as well as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the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relevance and sufficiency of the evidence.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9. Analyze how two or more texts address similar themes or topics in order to build knowledge or to compare the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Theme="minorHAnsi" w:hAnsi="Gotham-Book" w:cs="Gotham-Book"/>
                <w:sz w:val="16"/>
                <w:szCs w:val="16"/>
              </w:rPr>
            </w:pPr>
            <w:proofErr w:type="gramStart"/>
            <w:r>
              <w:rPr>
                <w:rFonts w:ascii="Gotham-Book" w:eastAsiaTheme="minorHAnsi" w:hAnsi="Gotham-Book" w:cs="Gotham-Book"/>
                <w:sz w:val="16"/>
                <w:szCs w:val="16"/>
              </w:rPr>
              <w:t>approaches</w:t>
            </w:r>
            <w:proofErr w:type="gramEnd"/>
            <w:r>
              <w:rPr>
                <w:rFonts w:ascii="Gotham-Book" w:eastAsiaTheme="minorHAnsi" w:hAnsi="Gotham-Book" w:cs="Gotham-Book"/>
                <w:sz w:val="16"/>
                <w:szCs w:val="16"/>
              </w:rPr>
              <w:t xml:space="preserve"> the authors take.</w:t>
            </w:r>
          </w:p>
          <w:p w:rsidR="00CE6AFA" w:rsidRDefault="00CE6AFA" w:rsidP="00CE6AFA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Medium" w:eastAsiaTheme="minorHAnsi" w:hAnsi="Gotham-Medium" w:cs="Gotham-Medium"/>
                <w:sz w:val="19"/>
                <w:szCs w:val="19"/>
              </w:rPr>
            </w:pPr>
            <w:r>
              <w:rPr>
                <w:rFonts w:ascii="Gotham-Medium" w:eastAsiaTheme="minorHAnsi" w:hAnsi="Gotham-Medium" w:cs="Gotham-Medium"/>
                <w:sz w:val="19"/>
                <w:szCs w:val="19"/>
              </w:rPr>
              <w:t>Range of Reading and Level of Text Complexity</w:t>
            </w:r>
          </w:p>
          <w:p w:rsidR="00CE6AFA" w:rsidRDefault="00CE6AFA" w:rsidP="00CE6AFA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Gotham-Book" w:eastAsiaTheme="minorHAnsi" w:hAnsi="Gotham-Book" w:cs="Gotham-Book"/>
                <w:sz w:val="16"/>
                <w:szCs w:val="16"/>
              </w:rPr>
              <w:t>10. Read and comprehend complex literary and informational texts independently and proficiently.</w:t>
            </w:r>
          </w:p>
        </w:tc>
      </w:tr>
      <w:tr w:rsidR="002402D9" w:rsidTr="002402D9">
        <w:trPr>
          <w:trHeight w:val="1254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Other considerations (modifications, accommodations, acceleration, ELL, etc.</w:t>
            </w:r>
          </w:p>
          <w:p w:rsidR="00AE480E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</w:t>
            </w:r>
            <w:r w:rsidR="00AE480E">
              <w:rPr>
                <w:rFonts w:ascii="Times New Roman" w:hAnsi="Times New Roman"/>
                <w:b/>
              </w:rPr>
              <w:t>accommodate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ions</w:t>
            </w:r>
            <w:proofErr w:type="gramEnd"/>
            <w:r>
              <w:rPr>
                <w:rFonts w:ascii="Times New Roman" w:hAnsi="Times New Roman"/>
                <w:b/>
              </w:rPr>
              <w:t xml:space="preserve"> and modifications indicated in student IEPs will be followed. Any needs of ELL students (modification of assignment length, modification of assignment complexity, modification of source reading, etc.) will be implemented.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2402D9" w:rsidRDefault="007B0F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Novels, Graphic Organizers, Fray Square Templates, Manipulatives</w:t>
            </w:r>
          </w:p>
        </w:tc>
      </w:tr>
      <w:tr w:rsidR="002402D9" w:rsidTr="007B0F4D">
        <w:trPr>
          <w:trHeight w:val="1385"/>
        </w:trPr>
        <w:tc>
          <w:tcPr>
            <w:tcW w:w="1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Assessment (How will you monitor progress and know students have successfully met outcomes? What happens when students understand and when they don’t understand?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Daily:</w:t>
            </w:r>
            <w:r w:rsidR="00476D3A">
              <w:rPr>
                <w:rFonts w:ascii="Times New Roman" w:hAnsi="Times New Roman"/>
                <w:b/>
              </w:rPr>
              <w:t xml:space="preserve"> Vocabulary Review, Writing Revisions, Math Drills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This Week: </w:t>
            </w:r>
            <w:r w:rsidR="007B0F4D">
              <w:rPr>
                <w:rFonts w:ascii="Times New Roman" w:hAnsi="Times New Roman"/>
                <w:b/>
              </w:rPr>
              <w:t>Freak the Mighty Novel, Manipulatives</w:t>
            </w:r>
          </w:p>
        </w:tc>
      </w:tr>
    </w:tbl>
    <w:p w:rsidR="002402D9" w:rsidRDefault="002402D9" w:rsidP="002402D9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2402D9" w:rsidTr="002402D9">
        <w:trPr>
          <w:trHeight w:val="1026"/>
        </w:trPr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MONDAY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Learning Target: </w:t>
            </w:r>
            <w:r w:rsidR="007B0F4D">
              <w:rPr>
                <w:rFonts w:ascii="Times New Roman" w:hAnsi="Times New Roman"/>
                <w:b/>
              </w:rPr>
              <w:t>I will address the</w:t>
            </w:r>
            <w:r w:rsidR="00A37607">
              <w:rPr>
                <w:rFonts w:ascii="Times New Roman" w:hAnsi="Times New Roman"/>
                <w:b/>
              </w:rPr>
              <w:t xml:space="preserve"> Writi</w:t>
            </w:r>
            <w:r w:rsidR="00476D3A">
              <w:rPr>
                <w:rFonts w:ascii="Times New Roman" w:hAnsi="Times New Roman"/>
                <w:b/>
              </w:rPr>
              <w:t>ng Prompt.  I will record and define three Vocabular</w:t>
            </w:r>
            <w:r w:rsidR="007B0F4D">
              <w:rPr>
                <w:rFonts w:ascii="Times New Roman" w:hAnsi="Times New Roman"/>
                <w:b/>
              </w:rPr>
              <w:t>y Words</w:t>
            </w:r>
            <w:r w:rsidR="00476D3A">
              <w:rPr>
                <w:rFonts w:ascii="Times New Roman" w:hAnsi="Times New Roman"/>
                <w:b/>
              </w:rPr>
              <w:t xml:space="preserve"> and two Literary Elements, using Fray Square</w:t>
            </w:r>
            <w:r w:rsidR="007B0F4D">
              <w:rPr>
                <w:rFonts w:ascii="Times New Roman" w:hAnsi="Times New Roman"/>
                <w:b/>
              </w:rPr>
              <w:t>s</w:t>
            </w:r>
            <w:r w:rsidR="00476D3A">
              <w:rPr>
                <w:rFonts w:ascii="Times New Roman" w:hAnsi="Times New Roman"/>
                <w:b/>
              </w:rPr>
              <w:t>, Acting + Word Strip</w:t>
            </w:r>
            <w:r w:rsidR="007B0F4D">
              <w:rPr>
                <w:rFonts w:ascii="Times New Roman" w:hAnsi="Times New Roman"/>
                <w:b/>
              </w:rPr>
              <w:t>s</w:t>
            </w:r>
            <w:r w:rsidR="00476D3A">
              <w:rPr>
                <w:rFonts w:ascii="Times New Roman" w:hAnsi="Times New Roman"/>
                <w:b/>
              </w:rPr>
              <w:t>, Flashcards, or other device.</w:t>
            </w:r>
          </w:p>
          <w:p w:rsidR="002402D9" w:rsidRDefault="002402D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 </w:t>
            </w:r>
            <w:r w:rsidR="00476D3A">
              <w:rPr>
                <w:rFonts w:ascii="Times New Roman" w:hAnsi="Times New Roman"/>
                <w:b/>
              </w:rPr>
              <w:t>Grammar/Spelling Rule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0F4D" w:rsidRDefault="002402D9" w:rsidP="007B0F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Assessment: </w:t>
            </w:r>
            <w:r w:rsidR="007B0F4D">
              <w:rPr>
                <w:rFonts w:ascii="Times New Roman" w:hAnsi="Times New Roman"/>
                <w:b/>
              </w:rPr>
              <w:t xml:space="preserve">Learn Thesis vs. Topic Sentence, Quest, Expel, Glimpse </w:t>
            </w:r>
          </w:p>
          <w:p w:rsidR="007B0F4D" w:rsidRDefault="007B0F4D" w:rsidP="007B0F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0F4D" w:rsidRDefault="007B0F4D" w:rsidP="007B0F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402D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="002402D9">
              <w:rPr>
                <w:rFonts w:ascii="Times New Roman" w:hAnsi="Times New Roman"/>
                <w:b/>
              </w:rPr>
              <w:t xml:space="preserve">Closing Activity: </w:t>
            </w:r>
            <w:r>
              <w:rPr>
                <w:rFonts w:ascii="Times New Roman" w:hAnsi="Times New Roman"/>
                <w:b/>
              </w:rPr>
              <w:t>Cold Call; share-out Fray Squares or Word Strips</w:t>
            </w:r>
          </w:p>
          <w:p w:rsidR="002402D9" w:rsidRDefault="002402D9" w:rsidP="007B0F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402D9" w:rsidTr="002402D9">
        <w:trPr>
          <w:trHeight w:val="1049"/>
        </w:trPr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TUESDAY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Learning Target: </w:t>
            </w:r>
            <w:r w:rsidR="00476D3A">
              <w:rPr>
                <w:rFonts w:ascii="Times New Roman" w:hAnsi="Times New Roman"/>
                <w:b/>
              </w:rPr>
              <w:t>I will finish the Rough Draft (30 min.) and work on Math Word Problem Four-Square (30 min.).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 </w:t>
            </w:r>
            <w:r w:rsidR="00476D3A">
              <w:rPr>
                <w:rFonts w:ascii="Times New Roman" w:hAnsi="Times New Roman"/>
                <w:b/>
              </w:rPr>
              <w:t>Multiplication math drills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  <w:r w:rsidR="007B0F4D">
              <w:rPr>
                <w:rFonts w:ascii="Times New Roman" w:hAnsi="Times New Roman"/>
                <w:b/>
              </w:rPr>
              <w:t xml:space="preserve"> Completed Rough Draft, Math 4-Square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  <w:r w:rsidR="007B0F4D">
              <w:rPr>
                <w:rFonts w:ascii="Times New Roman" w:hAnsi="Times New Roman"/>
                <w:b/>
              </w:rPr>
              <w:t xml:space="preserve"> Math Drills Game</w:t>
            </w:r>
          </w:p>
        </w:tc>
      </w:tr>
      <w:tr w:rsidR="002402D9" w:rsidTr="002402D9">
        <w:trPr>
          <w:trHeight w:val="1073"/>
        </w:trPr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WEDNESDAY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Learning Target:</w:t>
            </w:r>
            <w:r w:rsidR="00476D3A">
              <w:rPr>
                <w:rFonts w:ascii="Times New Roman" w:hAnsi="Times New Roman"/>
                <w:b/>
              </w:rPr>
              <w:t xml:space="preserve"> I will edit and write the Final Draft of </w:t>
            </w:r>
            <w:r w:rsidR="007B0F4D">
              <w:rPr>
                <w:rFonts w:ascii="Times New Roman" w:hAnsi="Times New Roman"/>
                <w:b/>
              </w:rPr>
              <w:t>my essay</w:t>
            </w:r>
            <w:r w:rsidR="00476D3A">
              <w:rPr>
                <w:rFonts w:ascii="Times New Roman" w:hAnsi="Times New Roman"/>
                <w:b/>
              </w:rPr>
              <w:t>. I will title it, and draw a depictive, colorful cover for it.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</w:t>
            </w:r>
            <w:r w:rsidR="00476D3A">
              <w:rPr>
                <w:rFonts w:ascii="Times New Roman" w:hAnsi="Times New Roman"/>
                <w:b/>
              </w:rPr>
              <w:t xml:space="preserve"> Grammar skill 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>Embedded Formative Assessment:</w:t>
            </w:r>
            <w:r w:rsidR="007B0F4D">
              <w:rPr>
                <w:rFonts w:ascii="Times New Roman" w:hAnsi="Times New Roman"/>
                <w:b/>
              </w:rPr>
              <w:t xml:space="preserve"> Completed essay.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>Closing Activity:</w:t>
            </w:r>
            <w:r w:rsidR="007B0F4D">
              <w:rPr>
                <w:rFonts w:ascii="Times New Roman" w:hAnsi="Times New Roman"/>
                <w:b/>
              </w:rPr>
              <w:t xml:space="preserve"> </w:t>
            </w:r>
            <w:r w:rsidR="003411C9">
              <w:rPr>
                <w:rFonts w:ascii="Times New Roman" w:hAnsi="Times New Roman"/>
                <w:b/>
              </w:rPr>
              <w:t>Vocabulary Word Cold Call</w:t>
            </w:r>
          </w:p>
        </w:tc>
      </w:tr>
      <w:tr w:rsidR="002402D9" w:rsidTr="002402D9">
        <w:trPr>
          <w:trHeight w:val="1026"/>
        </w:trPr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THURSDAY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Learning Target: </w:t>
            </w:r>
            <w:r w:rsidR="007B0F4D">
              <w:rPr>
                <w:rFonts w:ascii="Times New Roman" w:hAnsi="Times New Roman"/>
                <w:b/>
              </w:rPr>
              <w:t>Multiplication drills/Four-Square Problem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 </w:t>
            </w:r>
            <w:r w:rsidR="007B0F4D">
              <w:rPr>
                <w:rFonts w:ascii="Times New Roman" w:hAnsi="Times New Roman"/>
                <w:b/>
              </w:rPr>
              <w:t>Vocabulary Matching Pre-test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Assessment: </w:t>
            </w:r>
            <w:r w:rsidR="003411C9">
              <w:rPr>
                <w:rFonts w:ascii="Times New Roman" w:hAnsi="Times New Roman"/>
                <w:b/>
              </w:rPr>
              <w:t>Vocabulary Pre-Test Score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 xml:space="preserve">Closing Activity: </w:t>
            </w:r>
            <w:r w:rsidR="003411C9">
              <w:rPr>
                <w:rFonts w:ascii="Times New Roman" w:hAnsi="Times New Roman"/>
                <w:b/>
              </w:rPr>
              <w:t>Round-robin math drills game</w:t>
            </w:r>
          </w:p>
        </w:tc>
      </w:tr>
      <w:tr w:rsidR="002402D9" w:rsidTr="002402D9">
        <w:trPr>
          <w:trHeight w:val="755"/>
        </w:trPr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FRIDAY</w:t>
            </w:r>
          </w:p>
          <w:p w:rsidR="003411C9" w:rsidRDefault="002402D9" w:rsidP="00341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Learning Target: </w:t>
            </w:r>
            <w:r w:rsidR="00476D3A">
              <w:rPr>
                <w:rFonts w:ascii="Times New Roman" w:hAnsi="Times New Roman"/>
                <w:b/>
              </w:rPr>
              <w:t>I will learn the basics of the Five Paragraph Essay, using the “Hamburger”</w:t>
            </w:r>
            <w:r w:rsidR="003411C9">
              <w:rPr>
                <w:rFonts w:ascii="Times New Roman" w:hAnsi="Times New Roman"/>
                <w:b/>
              </w:rPr>
              <w:t xml:space="preserve"> analogy. I will develop a list of ten topics</w:t>
            </w:r>
            <w:r w:rsidR="00476D3A">
              <w:rPr>
                <w:rFonts w:ascii="Times New Roman" w:hAnsi="Times New Roman"/>
                <w:b/>
              </w:rPr>
              <w:t xml:space="preserve"> I am passionate </w:t>
            </w:r>
            <w:r w:rsidR="003411C9">
              <w:rPr>
                <w:rFonts w:ascii="Times New Roman" w:hAnsi="Times New Roman"/>
                <w:b/>
              </w:rPr>
              <w:t>about, and will choose one to write an</w:t>
            </w:r>
            <w:r w:rsidR="007B0F4D">
              <w:rPr>
                <w:rFonts w:ascii="Times New Roman" w:hAnsi="Times New Roman"/>
                <w:b/>
              </w:rPr>
              <w:t xml:space="preserve"> essay</w:t>
            </w:r>
            <w:r w:rsidR="003411C9">
              <w:rPr>
                <w:rFonts w:ascii="Times New Roman" w:hAnsi="Times New Roman"/>
                <w:b/>
              </w:rPr>
              <w:t xml:space="preserve"> about. </w:t>
            </w:r>
          </w:p>
          <w:p w:rsidR="003411C9" w:rsidRDefault="003411C9" w:rsidP="00341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402D9" w:rsidRDefault="002402D9" w:rsidP="00341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>
              <w:rPr>
                <w:rFonts w:ascii="Times New Roman" w:hAnsi="Times New Roman"/>
                <w:b/>
              </w:rPr>
              <w:t xml:space="preserve"> Do Now: </w:t>
            </w:r>
            <w:r w:rsidR="007B0F4D">
              <w:rPr>
                <w:rFonts w:ascii="Times New Roman" w:hAnsi="Times New Roman"/>
                <w:b/>
              </w:rPr>
              <w:t>Vocabulary Test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>
              <w:rPr>
                <w:rFonts w:ascii="Times New Roman" w:hAnsi="Times New Roman"/>
                <w:b/>
              </w:rPr>
              <w:t xml:space="preserve">Embedded Formative Assessment: </w:t>
            </w:r>
            <w:r w:rsidR="003411C9">
              <w:rPr>
                <w:rFonts w:ascii="Times New Roman" w:hAnsi="Times New Roman"/>
                <w:b/>
              </w:rPr>
              <w:t>Vocabulary Test</w:t>
            </w:r>
          </w:p>
          <w:p w:rsidR="002402D9" w:rsidRDefault="002402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>
              <w:rPr>
                <w:rFonts w:ascii="Times New Roman" w:hAnsi="Times New Roman"/>
                <w:b/>
              </w:rPr>
              <w:t xml:space="preserve">Closing Activity: </w:t>
            </w:r>
            <w:r w:rsidR="003411C9">
              <w:rPr>
                <w:rFonts w:ascii="Times New Roman" w:hAnsi="Times New Roman"/>
                <w:b/>
              </w:rPr>
              <w:t>Choose topic.</w:t>
            </w:r>
          </w:p>
        </w:tc>
      </w:tr>
    </w:tbl>
    <w:p w:rsidR="002402D9" w:rsidRDefault="002402D9" w:rsidP="002402D9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4608"/>
      </w:tblGrid>
      <w:tr w:rsidR="002402D9" w:rsidTr="002402D9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402D9" w:rsidRDefault="002402D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2402D9" w:rsidRDefault="002402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2402D9" w:rsidRDefault="002402D9" w:rsidP="002402D9">
      <w:pPr>
        <w:spacing w:after="0"/>
        <w:rPr>
          <w:rFonts w:ascii="Times New Roman" w:hAnsi="Times New Roman"/>
        </w:rPr>
      </w:pPr>
    </w:p>
    <w:p w:rsidR="002402D9" w:rsidRDefault="002402D9" w:rsidP="002402D9"/>
    <w:p w:rsidR="00897CF3" w:rsidRDefault="00897CF3"/>
    <w:sectPr w:rsidR="0089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C573E"/>
    <w:multiLevelType w:val="hybridMultilevel"/>
    <w:tmpl w:val="B088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D9"/>
    <w:rsid w:val="00183910"/>
    <w:rsid w:val="002402D9"/>
    <w:rsid w:val="003411C9"/>
    <w:rsid w:val="00476D3A"/>
    <w:rsid w:val="007B0F4D"/>
    <w:rsid w:val="008775D3"/>
    <w:rsid w:val="00897CF3"/>
    <w:rsid w:val="00A37607"/>
    <w:rsid w:val="00AE480E"/>
    <w:rsid w:val="00CE6AFA"/>
    <w:rsid w:val="00F4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68E84-BF26-4A90-BD35-D01504DF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D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Andrea Gotcher</cp:lastModifiedBy>
  <cp:revision>2</cp:revision>
  <dcterms:created xsi:type="dcterms:W3CDTF">2015-12-07T21:44:00Z</dcterms:created>
  <dcterms:modified xsi:type="dcterms:W3CDTF">2015-12-07T21:44:00Z</dcterms:modified>
</cp:coreProperties>
</file>