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98" w:rsidRDefault="009D076D">
      <w:r>
        <w:t>Name</w:t>
      </w:r>
      <w:proofErr w:type="gramStart"/>
      <w:r>
        <w:t>:_</w:t>
      </w:r>
      <w:proofErr w:type="gramEnd"/>
      <w:r>
        <w:t>________________________________ Date:_______________                     Pd._______________</w:t>
      </w:r>
    </w:p>
    <w:p w:rsidR="00532698" w:rsidRDefault="009D076D" w:rsidP="00532698">
      <w:pPr>
        <w:jc w:val="center"/>
      </w:pPr>
      <w:r>
        <w:t xml:space="preserve">Habit </w:t>
      </w:r>
      <w:r w:rsidR="000969B7">
        <w:t>5</w:t>
      </w:r>
      <w:r>
        <w:t>: Seek First to</w:t>
      </w:r>
      <w:r w:rsidR="00532698">
        <w:t xml:space="preserve"> Understand, </w:t>
      </w:r>
      <w:proofErr w:type="gramStart"/>
      <w:r w:rsidR="00532698">
        <w:t>Then</w:t>
      </w:r>
      <w:proofErr w:type="gramEnd"/>
      <w:r w:rsidR="00532698">
        <w:t xml:space="preserve"> be Understood</w:t>
      </w:r>
    </w:p>
    <w:p w:rsidR="009D076D" w:rsidRPr="00A02C39" w:rsidRDefault="009D076D" w:rsidP="00532698">
      <w:pPr>
        <w:jc w:val="center"/>
      </w:pPr>
      <w:r w:rsidRPr="009D076D">
        <w:t xml:space="preserve">To </w:t>
      </w:r>
      <w:proofErr w:type="gramStart"/>
      <w:r w:rsidRPr="009D076D">
        <w:t>Recap</w:t>
      </w:r>
      <w:proofErr w:type="gramEnd"/>
      <w:r w:rsidRPr="009D076D">
        <w:t xml:space="preserve"> on the four habits we have already covered </w:t>
      </w:r>
      <w:r>
        <w:rPr>
          <w:rFonts w:eastAsia="Times New Roman" w:cs="Arial"/>
        </w:rPr>
        <w:t>this school year include:</w:t>
      </w:r>
    </w:p>
    <w:p w:rsidR="009D076D" w:rsidRPr="00A02C39" w:rsidRDefault="009D076D" w:rsidP="009D076D">
      <w:pPr>
        <w:numPr>
          <w:ilvl w:val="0"/>
          <w:numId w:val="1"/>
        </w:numPr>
        <w:shd w:val="clear" w:color="auto" w:fill="FFFFFF"/>
        <w:spacing w:after="0" w:line="396" w:lineRule="atLeast"/>
        <w:ind w:left="750"/>
        <w:textAlignment w:val="baseline"/>
        <w:rPr>
          <w:rFonts w:eastAsia="Times New Roman" w:cs="Arial"/>
        </w:rPr>
      </w:pPr>
      <w:hyperlink r:id="rId5" w:tooltip="Habit 1 - Be Proative" w:history="1">
        <w:r w:rsidRPr="009D076D">
          <w:rPr>
            <w:rFonts w:eastAsia="Times New Roman" w:cs="Arial"/>
            <w:bCs/>
            <w:u w:val="single"/>
            <w:bdr w:val="none" w:sz="0" w:space="0" w:color="auto" w:frame="1"/>
          </w:rPr>
          <w:t>Habit 1 – Be Proactive</w:t>
        </w:r>
      </w:hyperlink>
      <w:r w:rsidRPr="009D076D">
        <w:rPr>
          <w:rFonts w:eastAsia="Times New Roman" w:cs="Arial"/>
        </w:rPr>
        <w:t> </w:t>
      </w:r>
      <w:r w:rsidRPr="00A02C39">
        <w:rPr>
          <w:rFonts w:eastAsia="Times New Roman" w:cs="Arial"/>
        </w:rPr>
        <w:t>– Here we learn to take charge of situations and work towards our desired outcomes</w:t>
      </w:r>
    </w:p>
    <w:p w:rsidR="009D076D" w:rsidRPr="00A02C39" w:rsidRDefault="009D076D" w:rsidP="009D076D">
      <w:pPr>
        <w:numPr>
          <w:ilvl w:val="0"/>
          <w:numId w:val="1"/>
        </w:numPr>
        <w:shd w:val="clear" w:color="auto" w:fill="FFFFFF"/>
        <w:spacing w:after="0" w:line="396" w:lineRule="atLeast"/>
        <w:ind w:left="750"/>
        <w:textAlignment w:val="baseline"/>
        <w:rPr>
          <w:rFonts w:eastAsia="Times New Roman" w:cs="Arial"/>
        </w:rPr>
      </w:pPr>
      <w:hyperlink r:id="rId6" w:tooltip="Habit 2 - Start with the end in mind" w:history="1">
        <w:r w:rsidRPr="009D076D">
          <w:rPr>
            <w:rFonts w:eastAsia="Times New Roman" w:cs="Arial"/>
            <w:bCs/>
            <w:u w:val="single"/>
            <w:bdr w:val="none" w:sz="0" w:space="0" w:color="auto" w:frame="1"/>
          </w:rPr>
          <w:t>Habit 2 – Start with the end in mind</w:t>
        </w:r>
      </w:hyperlink>
      <w:r w:rsidRPr="009D076D">
        <w:rPr>
          <w:rFonts w:eastAsia="Times New Roman" w:cs="Arial"/>
        </w:rPr>
        <w:t> </w:t>
      </w:r>
      <w:r w:rsidRPr="00A02C39">
        <w:rPr>
          <w:rFonts w:eastAsia="Times New Roman" w:cs="Arial"/>
        </w:rPr>
        <w:t>– We need to know where we’re going in order to get there</w:t>
      </w:r>
      <w:r>
        <w:rPr>
          <w:rFonts w:eastAsia="Times New Roman" w:cs="Arial"/>
        </w:rPr>
        <w:t>, despite roadblocks that may try to knock you off course.</w:t>
      </w:r>
    </w:p>
    <w:p w:rsidR="009D076D" w:rsidRPr="00A02C39" w:rsidRDefault="009D076D" w:rsidP="009D076D">
      <w:pPr>
        <w:numPr>
          <w:ilvl w:val="0"/>
          <w:numId w:val="1"/>
        </w:numPr>
        <w:shd w:val="clear" w:color="auto" w:fill="FFFFFF"/>
        <w:spacing w:after="0" w:line="396" w:lineRule="atLeast"/>
        <w:ind w:left="750"/>
        <w:textAlignment w:val="baseline"/>
        <w:rPr>
          <w:rFonts w:eastAsia="Times New Roman" w:cs="Arial"/>
        </w:rPr>
      </w:pPr>
      <w:hyperlink r:id="rId7" w:tooltip="Habit 3 - Put first things first" w:history="1">
        <w:r w:rsidRPr="009D076D">
          <w:rPr>
            <w:rFonts w:eastAsia="Times New Roman" w:cs="Arial"/>
            <w:bCs/>
            <w:u w:val="single"/>
            <w:bdr w:val="none" w:sz="0" w:space="0" w:color="auto" w:frame="1"/>
          </w:rPr>
          <w:t>Habit 3 – Put First Things First</w:t>
        </w:r>
      </w:hyperlink>
      <w:r w:rsidRPr="009D076D">
        <w:rPr>
          <w:rFonts w:eastAsia="Times New Roman" w:cs="Arial"/>
        </w:rPr>
        <w:t> </w:t>
      </w:r>
      <w:r w:rsidRPr="00A02C39">
        <w:rPr>
          <w:rFonts w:eastAsia="Times New Roman" w:cs="Arial"/>
        </w:rPr>
        <w:t>– How to become “personally effective”</w:t>
      </w:r>
      <w:r>
        <w:rPr>
          <w:rFonts w:eastAsia="Times New Roman" w:cs="Arial"/>
        </w:rPr>
        <w:t>-Prioritize, set goals, identify time wasters</w:t>
      </w:r>
      <w:proofErr w:type="gramStart"/>
      <w:r>
        <w:rPr>
          <w:rFonts w:eastAsia="Times New Roman" w:cs="Arial"/>
        </w:rPr>
        <w:t>,  break</w:t>
      </w:r>
      <w:proofErr w:type="gramEnd"/>
      <w:r>
        <w:rPr>
          <w:rFonts w:eastAsia="Times New Roman" w:cs="Arial"/>
        </w:rPr>
        <w:t xml:space="preserve"> out of your comfort zone-move into the courage zone. Identify fears and what is holding you back and people who influence or impact you negatively and positively. Asking yourself “Am I doing what I want to do, or what they want me to do?”</w:t>
      </w:r>
    </w:p>
    <w:p w:rsidR="009D076D" w:rsidRDefault="009D076D" w:rsidP="009D076D">
      <w:pPr>
        <w:numPr>
          <w:ilvl w:val="0"/>
          <w:numId w:val="1"/>
        </w:numPr>
        <w:shd w:val="clear" w:color="auto" w:fill="FFFFFF"/>
        <w:spacing w:after="0" w:line="396" w:lineRule="atLeast"/>
        <w:ind w:left="750"/>
        <w:textAlignment w:val="baseline"/>
        <w:rPr>
          <w:rFonts w:eastAsia="Times New Roman" w:cs="Arial"/>
        </w:rPr>
      </w:pPr>
      <w:hyperlink r:id="rId8" w:tooltip="The Public Victory Phase" w:history="1">
        <w:r w:rsidRPr="009D076D">
          <w:rPr>
            <w:rFonts w:eastAsia="Times New Roman" w:cs="Arial"/>
            <w:bCs/>
            <w:u w:val="single"/>
            <w:bdr w:val="none" w:sz="0" w:space="0" w:color="auto" w:frame="1"/>
          </w:rPr>
          <w:t>The Public Victory Phase</w:t>
        </w:r>
      </w:hyperlink>
      <w:r w:rsidRPr="009D076D">
        <w:rPr>
          <w:rFonts w:eastAsia="Times New Roman" w:cs="Arial"/>
        </w:rPr>
        <w:t> </w:t>
      </w:r>
      <w:r w:rsidRPr="00A02C39">
        <w:rPr>
          <w:rFonts w:eastAsia="Times New Roman" w:cs="Arial"/>
        </w:rPr>
        <w:t>– We begin to move from our own private area of influence into the public arena</w:t>
      </w:r>
    </w:p>
    <w:p w:rsidR="009D076D" w:rsidRPr="00A02C39" w:rsidRDefault="009D076D" w:rsidP="009D076D">
      <w:pPr>
        <w:numPr>
          <w:ilvl w:val="0"/>
          <w:numId w:val="1"/>
        </w:numPr>
        <w:shd w:val="clear" w:color="auto" w:fill="FFFFFF"/>
        <w:spacing w:after="0" w:line="396" w:lineRule="atLeast"/>
        <w:ind w:left="75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Keep your personal mission statement in mind: keep Promises, do small acts of kindness, be loyal, listen, say “you’re sorry, set clear expectations</w:t>
      </w:r>
    </w:p>
    <w:p w:rsidR="009D076D" w:rsidRDefault="009D076D" w:rsidP="009D076D">
      <w:pPr>
        <w:numPr>
          <w:ilvl w:val="0"/>
          <w:numId w:val="1"/>
        </w:numPr>
        <w:shd w:val="clear" w:color="auto" w:fill="FFFFFF"/>
        <w:spacing w:after="0" w:line="396" w:lineRule="atLeast"/>
        <w:ind w:left="750"/>
        <w:textAlignment w:val="baseline"/>
        <w:rPr>
          <w:rFonts w:eastAsia="Times New Roman" w:cs="Arial"/>
        </w:rPr>
      </w:pPr>
      <w:hyperlink r:id="rId9" w:tooltip="Habit 4 - Think Win/Win" w:history="1">
        <w:r w:rsidRPr="009D076D">
          <w:rPr>
            <w:rFonts w:eastAsia="Times New Roman" w:cs="Arial"/>
            <w:bCs/>
            <w:u w:val="single"/>
            <w:bdr w:val="none" w:sz="0" w:space="0" w:color="auto" w:frame="1"/>
          </w:rPr>
          <w:t>Habit 4 – Think Win/Win</w:t>
        </w:r>
      </w:hyperlink>
      <w:r w:rsidRPr="009D076D">
        <w:rPr>
          <w:rFonts w:eastAsia="Times New Roman" w:cs="Arial"/>
        </w:rPr>
        <w:t> </w:t>
      </w:r>
      <w:r w:rsidRPr="00A02C39">
        <w:rPr>
          <w:rFonts w:eastAsia="Times New Roman" w:cs="Arial"/>
        </w:rPr>
        <w:t xml:space="preserve">– </w:t>
      </w:r>
      <w:r>
        <w:rPr>
          <w:rFonts w:eastAsia="Times New Roman" w:cs="Arial"/>
        </w:rPr>
        <w:t>“Life is an All-You-Can-Eat Buffet-</w:t>
      </w:r>
      <w:r w:rsidRPr="00A02C39">
        <w:rPr>
          <w:rFonts w:eastAsia="Times New Roman" w:cs="Arial"/>
        </w:rPr>
        <w:t>We need to reach mutually beneficial outcomes to become more personally effective and build up our “Emotional Bank Account”</w:t>
      </w:r>
      <w:r>
        <w:rPr>
          <w:rFonts w:eastAsia="Times New Roman" w:cs="Arial"/>
        </w:rPr>
        <w:t>. There are different cooperative mindsets that include: Win-win, win-lose, lose-win and lose-lose, looking at how different mind sets shape people</w:t>
      </w:r>
      <w:r w:rsidR="000969B7">
        <w:rPr>
          <w:rFonts w:eastAsia="Times New Roman" w:cs="Arial"/>
        </w:rPr>
        <w:t>.</w:t>
      </w:r>
    </w:p>
    <w:p w:rsidR="000969B7" w:rsidRDefault="000969B7" w:rsidP="00532698">
      <w:pPr>
        <w:pStyle w:val="ListParagraph"/>
        <w:numPr>
          <w:ilvl w:val="0"/>
          <w:numId w:val="1"/>
        </w:numPr>
        <w:shd w:val="clear" w:color="auto" w:fill="FFFFFF"/>
        <w:spacing w:after="300" w:line="396" w:lineRule="atLeast"/>
        <w:textAlignment w:val="baseline"/>
        <w:rPr>
          <w:rFonts w:ascii="Arial" w:eastAsia="Times New Roman" w:hAnsi="Arial" w:cs="Arial"/>
          <w:color w:val="606060"/>
          <w:sz w:val="24"/>
          <w:szCs w:val="24"/>
        </w:rPr>
      </w:pPr>
      <w:r w:rsidRPr="000969B7">
        <w:rPr>
          <w:rFonts w:eastAsia="Times New Roman" w:cs="Arial"/>
          <w:u w:val="single"/>
        </w:rPr>
        <w:t xml:space="preserve">Habit 5- </w:t>
      </w:r>
      <w:r w:rsidRPr="000969B7">
        <w:rPr>
          <w:u w:val="single"/>
        </w:rPr>
        <w:t xml:space="preserve">Seek First to Understand, </w:t>
      </w:r>
      <w:proofErr w:type="gramStart"/>
      <w:r w:rsidRPr="000969B7">
        <w:rPr>
          <w:u w:val="single"/>
        </w:rPr>
        <w:t>Then</w:t>
      </w:r>
      <w:proofErr w:type="gramEnd"/>
      <w:r w:rsidRPr="000969B7">
        <w:rPr>
          <w:u w:val="single"/>
        </w:rPr>
        <w:t xml:space="preserve"> be Understood</w:t>
      </w:r>
      <w:r w:rsidRPr="000969B7">
        <w:rPr>
          <w:u w:val="single"/>
        </w:rPr>
        <w:t xml:space="preserve">- </w:t>
      </w:r>
      <w:r w:rsidRPr="000969B7">
        <w:rPr>
          <w:rFonts w:eastAsia="Times New Roman" w:cs="Arial"/>
        </w:rPr>
        <w:t xml:space="preserve">This chapter </w:t>
      </w:r>
      <w:r w:rsidRPr="000969B7">
        <w:rPr>
          <w:rFonts w:eastAsia="Times New Roman" w:cs="Arial"/>
        </w:rPr>
        <w:t>centers</w:t>
      </w:r>
      <w:r w:rsidRPr="000969B7">
        <w:rPr>
          <w:rFonts w:eastAsia="Times New Roman" w:cs="Arial"/>
        </w:rPr>
        <w:t xml:space="preserve"> around the understanding of the other person – what they want, need and aspire to as well as what their motivations and mindset are.</w:t>
      </w:r>
      <w:r w:rsidRPr="000969B7">
        <w:rPr>
          <w:rFonts w:eastAsia="Times New Roman" w:cs="Arial"/>
        </w:rPr>
        <w:t xml:space="preserve"> To better understand how we interact with people we must change how we listen to them. We need to not be judgmental and make assumptions.  </w:t>
      </w:r>
      <w:r w:rsidRPr="000969B7">
        <w:rPr>
          <w:rFonts w:eastAsia="Times New Roman" w:cs="Arial"/>
        </w:rPr>
        <w:t>It’s essentially the culmination of the techniques in the first 4 habits. These habits need to be in place and understood for you to be truly able to understand and then be understood</w:t>
      </w:r>
      <w:r w:rsidRPr="000969B7">
        <w:rPr>
          <w:rFonts w:ascii="Arial" w:eastAsia="Times New Roman" w:hAnsi="Arial" w:cs="Arial"/>
          <w:color w:val="606060"/>
          <w:sz w:val="24"/>
          <w:szCs w:val="24"/>
        </w:rPr>
        <w:t>.</w:t>
      </w:r>
    </w:p>
    <w:p w:rsidR="00532698" w:rsidRPr="00532698" w:rsidRDefault="00532698" w:rsidP="00532698">
      <w:pPr>
        <w:pStyle w:val="ListParagraph"/>
        <w:shd w:val="clear" w:color="auto" w:fill="FFFFFF"/>
        <w:spacing w:after="300" w:line="396" w:lineRule="atLeast"/>
        <w:textAlignment w:val="baseline"/>
        <w:rPr>
          <w:rFonts w:ascii="Arial" w:eastAsia="Times New Roman" w:hAnsi="Arial" w:cs="Arial"/>
          <w:color w:val="606060"/>
          <w:sz w:val="24"/>
          <w:szCs w:val="24"/>
        </w:rPr>
      </w:pPr>
    </w:p>
    <w:p w:rsidR="000969B7" w:rsidRDefault="000969B7" w:rsidP="000969B7">
      <w:pPr>
        <w:pStyle w:val="ListParagraph"/>
        <w:shd w:val="clear" w:color="auto" w:fill="FFFFFF"/>
        <w:spacing w:after="300" w:line="396" w:lineRule="atLeast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The author describes 5 “poor” different types of listening styles:</w:t>
      </w:r>
    </w:p>
    <w:p w:rsidR="000969B7" w:rsidRDefault="000969B7" w:rsidP="000969B7">
      <w:pPr>
        <w:pStyle w:val="ListParagraph"/>
        <w:shd w:val="clear" w:color="auto" w:fill="FFFFFF"/>
        <w:spacing w:after="300" w:line="396" w:lineRule="atLeast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List the 5 “poor” listening styles                       Describe and provide an example of a listening style</w:t>
      </w:r>
    </w:p>
    <w:tbl>
      <w:tblPr>
        <w:tblStyle w:val="TableGrid"/>
        <w:tblW w:w="8764" w:type="dxa"/>
        <w:tblInd w:w="720" w:type="dxa"/>
        <w:tblLook w:val="04A0" w:firstRow="1" w:lastRow="0" w:firstColumn="1" w:lastColumn="0" w:noHBand="0" w:noVBand="1"/>
      </w:tblPr>
      <w:tblGrid>
        <w:gridCol w:w="4389"/>
        <w:gridCol w:w="4375"/>
      </w:tblGrid>
      <w:tr w:rsidR="000969B7" w:rsidTr="000969B7">
        <w:trPr>
          <w:trHeight w:val="664"/>
        </w:trPr>
        <w:tc>
          <w:tcPr>
            <w:tcW w:w="4389" w:type="dxa"/>
          </w:tcPr>
          <w:p w:rsidR="000969B7" w:rsidRDefault="000969B7" w:rsidP="000969B7">
            <w:pPr>
              <w:pStyle w:val="ListParagraph"/>
              <w:spacing w:after="300" w:line="396" w:lineRule="atLeast"/>
              <w:ind w:left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</w:t>
            </w:r>
          </w:p>
        </w:tc>
        <w:tc>
          <w:tcPr>
            <w:tcW w:w="4375" w:type="dxa"/>
          </w:tcPr>
          <w:p w:rsidR="000969B7" w:rsidRDefault="000969B7" w:rsidP="000969B7">
            <w:pPr>
              <w:pStyle w:val="ListParagraph"/>
              <w:spacing w:after="300" w:line="396" w:lineRule="atLeast"/>
              <w:ind w:left="0"/>
              <w:textAlignment w:val="baseline"/>
              <w:rPr>
                <w:rFonts w:eastAsia="Times New Roman" w:cs="Arial"/>
              </w:rPr>
            </w:pPr>
          </w:p>
        </w:tc>
      </w:tr>
      <w:tr w:rsidR="000969B7" w:rsidTr="000969B7">
        <w:trPr>
          <w:trHeight w:val="679"/>
        </w:trPr>
        <w:tc>
          <w:tcPr>
            <w:tcW w:w="4389" w:type="dxa"/>
          </w:tcPr>
          <w:p w:rsidR="000969B7" w:rsidRDefault="000969B7" w:rsidP="000969B7">
            <w:pPr>
              <w:pStyle w:val="ListParagraph"/>
              <w:spacing w:after="300" w:line="396" w:lineRule="atLeast"/>
              <w:ind w:left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</w:t>
            </w:r>
          </w:p>
        </w:tc>
        <w:tc>
          <w:tcPr>
            <w:tcW w:w="4375" w:type="dxa"/>
          </w:tcPr>
          <w:p w:rsidR="000969B7" w:rsidRDefault="000969B7" w:rsidP="000969B7">
            <w:pPr>
              <w:pStyle w:val="ListParagraph"/>
              <w:spacing w:after="300" w:line="396" w:lineRule="atLeast"/>
              <w:ind w:left="0"/>
              <w:textAlignment w:val="baseline"/>
              <w:rPr>
                <w:rFonts w:eastAsia="Times New Roman" w:cs="Arial"/>
              </w:rPr>
            </w:pPr>
          </w:p>
        </w:tc>
      </w:tr>
      <w:tr w:rsidR="000969B7" w:rsidTr="000969B7">
        <w:trPr>
          <w:trHeight w:val="664"/>
        </w:trPr>
        <w:tc>
          <w:tcPr>
            <w:tcW w:w="4389" w:type="dxa"/>
          </w:tcPr>
          <w:p w:rsidR="000969B7" w:rsidRDefault="000969B7" w:rsidP="000969B7">
            <w:pPr>
              <w:pStyle w:val="ListParagraph"/>
              <w:spacing w:after="300" w:line="396" w:lineRule="atLeast"/>
              <w:ind w:left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3.</w:t>
            </w:r>
          </w:p>
        </w:tc>
        <w:tc>
          <w:tcPr>
            <w:tcW w:w="4375" w:type="dxa"/>
          </w:tcPr>
          <w:p w:rsidR="000969B7" w:rsidRDefault="000969B7" w:rsidP="000969B7">
            <w:pPr>
              <w:pStyle w:val="ListParagraph"/>
              <w:spacing w:after="300" w:line="396" w:lineRule="atLeast"/>
              <w:ind w:left="0"/>
              <w:textAlignment w:val="baseline"/>
              <w:rPr>
                <w:rFonts w:eastAsia="Times New Roman" w:cs="Arial"/>
              </w:rPr>
            </w:pPr>
          </w:p>
        </w:tc>
      </w:tr>
      <w:tr w:rsidR="000969B7" w:rsidTr="000969B7">
        <w:trPr>
          <w:trHeight w:val="664"/>
        </w:trPr>
        <w:tc>
          <w:tcPr>
            <w:tcW w:w="4389" w:type="dxa"/>
          </w:tcPr>
          <w:p w:rsidR="000969B7" w:rsidRDefault="000969B7" w:rsidP="000969B7">
            <w:pPr>
              <w:pStyle w:val="ListParagraph"/>
              <w:spacing w:after="300" w:line="396" w:lineRule="atLeast"/>
              <w:ind w:left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4.</w:t>
            </w:r>
          </w:p>
        </w:tc>
        <w:tc>
          <w:tcPr>
            <w:tcW w:w="4375" w:type="dxa"/>
          </w:tcPr>
          <w:p w:rsidR="000969B7" w:rsidRDefault="000969B7" w:rsidP="000969B7">
            <w:pPr>
              <w:pStyle w:val="ListParagraph"/>
              <w:spacing w:after="300" w:line="396" w:lineRule="atLeast"/>
              <w:ind w:left="0"/>
              <w:textAlignment w:val="baseline"/>
              <w:rPr>
                <w:rFonts w:eastAsia="Times New Roman" w:cs="Arial"/>
              </w:rPr>
            </w:pPr>
          </w:p>
        </w:tc>
      </w:tr>
      <w:tr w:rsidR="000969B7" w:rsidTr="000969B7">
        <w:trPr>
          <w:trHeight w:val="664"/>
        </w:trPr>
        <w:tc>
          <w:tcPr>
            <w:tcW w:w="4389" w:type="dxa"/>
          </w:tcPr>
          <w:p w:rsidR="000969B7" w:rsidRDefault="000969B7" w:rsidP="000969B7">
            <w:pPr>
              <w:pStyle w:val="ListParagraph"/>
              <w:spacing w:after="300" w:line="396" w:lineRule="atLeast"/>
              <w:ind w:left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</w:t>
            </w:r>
          </w:p>
        </w:tc>
        <w:tc>
          <w:tcPr>
            <w:tcW w:w="4375" w:type="dxa"/>
          </w:tcPr>
          <w:p w:rsidR="000969B7" w:rsidRDefault="000969B7" w:rsidP="000969B7">
            <w:pPr>
              <w:pStyle w:val="ListParagraph"/>
              <w:spacing w:after="300" w:line="396" w:lineRule="atLeast"/>
              <w:ind w:left="0"/>
              <w:textAlignment w:val="baseline"/>
              <w:rPr>
                <w:rFonts w:eastAsia="Times New Roman" w:cs="Arial"/>
              </w:rPr>
            </w:pPr>
          </w:p>
        </w:tc>
      </w:tr>
      <w:tr w:rsidR="000969B7" w:rsidTr="000969B7">
        <w:trPr>
          <w:trHeight w:val="664"/>
        </w:trPr>
        <w:tc>
          <w:tcPr>
            <w:tcW w:w="4389" w:type="dxa"/>
          </w:tcPr>
          <w:p w:rsidR="000969B7" w:rsidRDefault="000969B7" w:rsidP="000969B7">
            <w:pPr>
              <w:pStyle w:val="ListParagraph"/>
              <w:spacing w:after="300" w:line="396" w:lineRule="atLeast"/>
              <w:ind w:left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375" w:type="dxa"/>
          </w:tcPr>
          <w:p w:rsidR="000969B7" w:rsidRDefault="000969B7" w:rsidP="000969B7">
            <w:pPr>
              <w:pStyle w:val="ListParagraph"/>
              <w:spacing w:after="300" w:line="396" w:lineRule="atLeast"/>
              <w:ind w:left="0"/>
              <w:textAlignment w:val="baseline"/>
              <w:rPr>
                <w:rFonts w:eastAsia="Times New Roman" w:cs="Arial"/>
              </w:rPr>
            </w:pPr>
          </w:p>
        </w:tc>
      </w:tr>
    </w:tbl>
    <w:p w:rsidR="000969B7" w:rsidRDefault="000969B7" w:rsidP="000969B7">
      <w:pPr>
        <w:pStyle w:val="ListParagraph"/>
        <w:shd w:val="clear" w:color="auto" w:fill="FFFFFF"/>
        <w:spacing w:after="300" w:line="396" w:lineRule="atLeast"/>
        <w:textAlignment w:val="baseline"/>
        <w:rPr>
          <w:rFonts w:eastAsia="Times New Roman" w:cs="Arial"/>
        </w:rPr>
      </w:pPr>
    </w:p>
    <w:p w:rsidR="000969B7" w:rsidRDefault="00532698" w:rsidP="000969B7">
      <w:pPr>
        <w:pStyle w:val="ListParagraph"/>
        <w:shd w:val="clear" w:color="auto" w:fill="FFFFFF"/>
        <w:spacing w:after="300" w:line="396" w:lineRule="atLeast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Identify and reflect on the “poor” listening style that you struggle with and why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698" w:rsidRDefault="00532698" w:rsidP="000969B7">
      <w:pPr>
        <w:pStyle w:val="ListParagraph"/>
        <w:shd w:val="clear" w:color="auto" w:fill="FFFFFF"/>
        <w:spacing w:after="300" w:line="396" w:lineRule="atLeast"/>
        <w:textAlignment w:val="baseline"/>
        <w:rPr>
          <w:rFonts w:eastAsia="Times New Roman" w:cs="Arial"/>
        </w:rPr>
      </w:pPr>
    </w:p>
    <w:p w:rsidR="00532698" w:rsidRDefault="00532698" w:rsidP="000969B7">
      <w:pPr>
        <w:pStyle w:val="ListParagraph"/>
        <w:shd w:val="clear" w:color="auto" w:fill="FFFFFF"/>
        <w:spacing w:after="300" w:line="396" w:lineRule="atLeast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The author explains that there is a higher form of listening, which leads to “real communication” What is one of the examples stated as an example of genuine listening.</w:t>
      </w:r>
    </w:p>
    <w:p w:rsidR="00532698" w:rsidRDefault="00532698" w:rsidP="000969B7">
      <w:pPr>
        <w:pStyle w:val="ListParagraph"/>
        <w:shd w:val="clear" w:color="auto" w:fill="FFFFFF"/>
        <w:spacing w:after="300" w:line="396" w:lineRule="atLeast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Act this out with a partner and demonstrate what this really means.</w:t>
      </w:r>
    </w:p>
    <w:p w:rsidR="00532698" w:rsidRDefault="00532698" w:rsidP="000969B7">
      <w:pPr>
        <w:pStyle w:val="ListParagraph"/>
        <w:shd w:val="clear" w:color="auto" w:fill="FFFFFF"/>
        <w:spacing w:after="300" w:line="396" w:lineRule="atLeast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698" w:rsidRDefault="00532698" w:rsidP="000969B7">
      <w:pPr>
        <w:pStyle w:val="ListParagraph"/>
        <w:shd w:val="clear" w:color="auto" w:fill="FFFFFF"/>
        <w:spacing w:after="300" w:line="396" w:lineRule="atLeast"/>
        <w:textAlignment w:val="baseline"/>
        <w:rPr>
          <w:rFonts w:eastAsia="Times New Roman" w:cs="Arial"/>
        </w:rPr>
      </w:pPr>
    </w:p>
    <w:p w:rsidR="00532698" w:rsidRDefault="00532698" w:rsidP="000969B7">
      <w:pPr>
        <w:pStyle w:val="ListParagraph"/>
        <w:shd w:val="clear" w:color="auto" w:fill="FFFFFF"/>
        <w:spacing w:after="300" w:line="396" w:lineRule="atLeast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What is empathy</w:t>
      </w:r>
      <w:proofErr w:type="gramStart"/>
      <w:r>
        <w:rPr>
          <w:rFonts w:eastAsia="Times New Roman" w:cs="Arial"/>
        </w:rPr>
        <w:t>?_</w:t>
      </w:r>
      <w:proofErr w:type="gramEnd"/>
      <w:r>
        <w:rPr>
          <w:rFonts w:eastAsia="Times New Roman" w:cs="Arial"/>
        </w:rPr>
        <w:t>______________________________________________________________</w:t>
      </w:r>
    </w:p>
    <w:p w:rsidR="00732F9A" w:rsidRPr="000969B7" w:rsidRDefault="00732F9A" w:rsidP="000969B7">
      <w:pPr>
        <w:pStyle w:val="ListParagraph"/>
        <w:shd w:val="clear" w:color="auto" w:fill="FFFFFF"/>
        <w:spacing w:after="300" w:line="396" w:lineRule="atLeast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What does this quote mean to you “Seeking to understand requires consideration; seeking to be understood requires courage.”____________________________________________________________________________________________________________________________________________________</w:t>
      </w:r>
    </w:p>
    <w:p w:rsidR="009D076D" w:rsidRDefault="00532698" w:rsidP="000969B7">
      <w:pPr>
        <w:shd w:val="clear" w:color="auto" w:fill="FFFFFF"/>
        <w:spacing w:after="0" w:line="396" w:lineRule="atLeast"/>
        <w:ind w:left="75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Think of a situation where your constructive feedback would really help someone. Share this with your partner now.</w:t>
      </w:r>
    </w:p>
    <w:p w:rsidR="00532698" w:rsidRPr="00532698" w:rsidRDefault="00532698" w:rsidP="00732F9A">
      <w:pPr>
        <w:shd w:val="clear" w:color="auto" w:fill="FFFFFF"/>
        <w:spacing w:after="0" w:line="396" w:lineRule="atLeast"/>
        <w:ind w:left="75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Who could benefit from your feedback? ___________________________________________</w:t>
      </w:r>
      <w:bookmarkStart w:id="0" w:name="_GoBack"/>
      <w:bookmarkEnd w:id="0"/>
    </w:p>
    <w:sectPr w:rsidR="00532698" w:rsidRPr="0053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9359D"/>
    <w:multiLevelType w:val="multilevel"/>
    <w:tmpl w:val="07C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6D"/>
    <w:rsid w:val="000969B7"/>
    <w:rsid w:val="001F2598"/>
    <w:rsid w:val="00532698"/>
    <w:rsid w:val="00732F9A"/>
    <w:rsid w:val="009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10A23-246C-4E52-88BD-0538737D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B7"/>
    <w:pPr>
      <w:ind w:left="720"/>
      <w:contextualSpacing/>
    </w:pPr>
  </w:style>
  <w:style w:type="table" w:styleId="TableGrid">
    <w:name w:val="Table Grid"/>
    <w:basedOn w:val="TableNormal"/>
    <w:uiPriority w:val="39"/>
    <w:rsid w:val="000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ppingheck.com/index.asp?view=display&amp;ID=8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ippingheck.com/index.asp?view=display&amp;ID=8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ppingheck.com/index.asp?view=display&amp;ID=8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lippingheck.com/index.asp?view=display&amp;ID=8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ippingheck.com/index.asp?view=display&amp;ID=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Gotcher</dc:creator>
  <cp:keywords/>
  <dc:description/>
  <cp:lastModifiedBy>Andrea Gotcher</cp:lastModifiedBy>
  <cp:revision>1</cp:revision>
  <dcterms:created xsi:type="dcterms:W3CDTF">2016-03-17T17:49:00Z</dcterms:created>
  <dcterms:modified xsi:type="dcterms:W3CDTF">2016-03-17T18:23:00Z</dcterms:modified>
</cp:coreProperties>
</file>